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en-US"/>
        </w:rPr>
        <w:t>关于征集</w:t>
      </w:r>
      <w:r>
        <w:rPr>
          <w:rFonts w:hint="eastAsia" w:ascii="方正小标宋简体" w:hAnsi="方正小标宋简体" w:eastAsia="方正小标宋简体" w:cs="方正小标宋简体"/>
          <w:sz w:val="44"/>
          <w:szCs w:val="44"/>
          <w:lang w:val="en-US" w:eastAsia="zh-CN"/>
        </w:rPr>
        <w:t>县政协十届三次会议</w:t>
      </w:r>
      <w:r>
        <w:rPr>
          <w:rFonts w:hint="eastAsia" w:ascii="方正小标宋简体" w:hAnsi="方正小标宋简体" w:eastAsia="方正小标宋简体" w:cs="方正小标宋简体"/>
          <w:sz w:val="44"/>
          <w:szCs w:val="44"/>
          <w:lang w:val="en-US"/>
        </w:rPr>
        <w:t>提案的通知</w:t>
      </w:r>
    </w:p>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县政协委员，县政协各委室、乡镇（街道）政协委员联络室：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为做好县政协十届三次会议提案工作，现将提案征集工作的有关事项和要求通知如下：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一、深入调研，精心选题出精品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提案要以习近平新时代中国特色社会主义思想和党的十九大精神为指导，深入学习贯彻习近平总书记视察山东重要讲话、重要指示批示精神，按照“围绕中心、服务大局，提高质量、讲求实效”的工作方针，结合当前形势和县委、县政府的决策部署，从实际出发，精心选题，科学论证，提出具有重要参考价值的意见建议；提案要坚持严肃性、科学性、可行性，注重调查研究，言之有据，实事求是，一事一议、一事一案、撰写规范、文字精炼、语句通顺，内容做到有情况、有分析、有具体建议。同时注意了解过去相关提案及提案办理情况，对已办结且有较好办理成效或多年重复提出无新意的提案，应避免重复提出。禁止将本人或他人信访材料、书籍、论文、理论文章和新闻稿件作为提案提交，杜绝相互抄袭提案的行为。提案文字应简练准确、简明扼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二、发挥优势，加大集体提案数量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集体提案是参加政协的各界别、各委室、各乡镇（街道）委员联络室履职尽责的重要载体，体现参政议政的质量和水平。各界别、各委室、各乡镇（街道）委员联络室要充分发挥自身的组织和人才优势，认真组织开展集体调研、集体论证，集中集体智慧撰写并提交高质量的集体提案；组织引导所在界别委员熟悉关注的共性问题，开展联合调研，创作并提交高质量的集体提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三、提交提案的有关注意事项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（一）县政协十届三次全会提案，自2018年12月10</w:t>
      </w:r>
      <w:bookmarkStart w:id="0" w:name="_GoBack"/>
      <w:bookmarkEnd w:id="0"/>
      <w:r>
        <w:rPr>
          <w:rFonts w:hint="eastAsia" w:ascii="仿宋_GB2312" w:hAnsi="仿宋_GB2312" w:eastAsia="仿宋_GB2312" w:cs="仿宋_GB2312"/>
          <w:b/>
          <w:bCs/>
          <w:sz w:val="32"/>
          <w:szCs w:val="32"/>
          <w:lang w:val="en-US" w:eastAsia="zh-CN"/>
        </w:rPr>
        <w:t>日起开始提交。在积极提交大会提案的同时，也应注重平时提案的撰写提交。2019年10月1日之后提交的提案，除特别紧急、需要立即处理以外，按程序转为下一年度处理。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（二）以界别名义提交的集体提案，须有界别召集人签字同意，并注明联系人姓名及联系方式，各委室、各乡镇（街道）委员联络室提案还须在提案者名称上加盖公章。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（三）委员联名提案应遵循自愿、同意、负责的原则，不刻意追求联名人数规模，禁止冒用他人名义联名。联名提案，须提供有联名委员共同签名且注明委员证号和详细联系方式的纸质提案封面原件。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fldChar w:fldCharType="begin"/>
      </w:r>
      <w:r>
        <w:rPr>
          <w:rFonts w:hint="eastAsia" w:ascii="仿宋_GB2312" w:hAnsi="仿宋_GB2312" w:eastAsia="仿宋_GB2312" w:cs="仿宋_GB2312"/>
          <w:b/>
          <w:bCs/>
          <w:sz w:val="32"/>
          <w:szCs w:val="32"/>
          <w:lang w:val="en-US" w:eastAsia="zh-CN"/>
        </w:rPr>
        <w:instrText xml:space="preserve"> HYPERLINK "mailto:（四）今年实行网上提交电子提案。提案须按照标准电子提案格式填写，提案纸电子版请在\“洛阳市政协网站—提案工作—提案纸电子版\”中下载。撰写好的电子提案请发送至电子邮箱lyzxtaw@126.com，不必再重复提交纸质提案。个别撰写好的书面提案，可交委员组联络员或大会秘书处提案组。" </w:instrText>
      </w:r>
      <w:r>
        <w:rPr>
          <w:rFonts w:hint="eastAsia" w:ascii="仿宋_GB2312" w:hAnsi="仿宋_GB2312" w:eastAsia="仿宋_GB2312" w:cs="仿宋_GB2312"/>
          <w:b/>
          <w:bCs/>
          <w:sz w:val="32"/>
          <w:szCs w:val="32"/>
          <w:lang w:val="en-US" w:eastAsia="zh-CN"/>
        </w:rPr>
        <w:fldChar w:fldCharType="separate"/>
      </w:r>
      <w:r>
        <w:rPr>
          <w:rFonts w:hint="eastAsia" w:ascii="仿宋_GB2312" w:hAnsi="仿宋_GB2312" w:eastAsia="仿宋_GB2312" w:cs="仿宋_GB2312"/>
          <w:b/>
          <w:bCs/>
          <w:sz w:val="32"/>
          <w:szCs w:val="32"/>
          <w:lang w:val="en-US" w:eastAsia="zh-CN"/>
        </w:rPr>
        <w:t>（四）今年实行网上提交提案电子版。委员必须提交电子版提案，不必再重复提交纸质提案，提案须按照标准提案格式填写。提案纸电子版请在指定邮箱qyxzxtaw@163.com(密码：qyzx123）中下载。县直委员撰写好的提案电子版请直接发送至邮箱qyxzxtaw@163.com。</w:t>
      </w:r>
      <w:r>
        <w:rPr>
          <w:rFonts w:hint="eastAsia" w:ascii="仿宋_GB2312" w:hAnsi="仿宋_GB2312" w:eastAsia="仿宋_GB2312" w:cs="仿宋_GB2312"/>
          <w:b/>
          <w:bCs/>
          <w:sz w:val="32"/>
          <w:szCs w:val="32"/>
          <w:lang w:val="en-US" w:eastAsia="zh-CN"/>
        </w:rPr>
        <w:fldChar w:fldCharType="end"/>
      </w:r>
      <w:r>
        <w:rPr>
          <w:rFonts w:hint="eastAsia" w:ascii="仿宋_GB2312" w:hAnsi="仿宋_GB2312" w:eastAsia="仿宋_GB2312" w:cs="仿宋_GB2312"/>
          <w:b/>
          <w:bCs/>
          <w:sz w:val="32"/>
          <w:szCs w:val="32"/>
          <w:lang w:val="en-US" w:eastAsia="zh-CN"/>
        </w:rPr>
        <w:t>乡镇政协委员的提案电子版交所在乡镇政协委员联络室后，由乡镇政协委员联络室汇总统一提交。个别撰写好的书面提案，可交大会秘书处提案组。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四、提案格式及撰写规范要求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提案案由应当简短明了，使用“关于……的建议（或提案）”的格式，字数一般应控制在20个字以内。案由使用二号宋体加粗，正文使用三号仿宋，正文一级标题使用黑体，二级标题使用楷体加粗。案由下方须注明提案者名称，使用三号楷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（二）提案内容应包含背景或问题、原因分析、意见建议等部分，内容表述应条理分明、逻辑清晰、有理有据、文字精炼，使用议论文体，原则上字数控制在3000字以内。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提案者在登录县政协指定邮箱和上传提案过程中有何问题或对县政协十届三次会议提案征集工作有何疑问及意见建议的，请致电县政协提案委员会办公室，电话：0534-3321137。</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附：1、县政协十届三次会议提案选题参考提纲</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2、提案纸</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庆云县政协办公室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2018年12月1日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县政协十届三次会议提案选题参考提纲</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rPr>
        <w:t>深入实施协同发展战略，深度对接京津冀，高质量推进“双招双引”</w:t>
      </w:r>
      <w:r>
        <w:rPr>
          <w:rFonts w:hint="eastAsia" w:ascii="Times New Roman" w:hAnsi="Times New Roman" w:eastAsia="仿宋_GB2312" w:cs="Times New Roman"/>
          <w:b/>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val="en-US" w:eastAsia="zh-CN"/>
        </w:rPr>
        <w:t>2、推进</w:t>
      </w:r>
      <w:r>
        <w:rPr>
          <w:rFonts w:hint="default" w:ascii="Times New Roman" w:hAnsi="Times New Roman" w:eastAsia="仿宋_GB2312" w:cs="Times New Roman"/>
          <w:b/>
          <w:bCs/>
          <w:sz w:val="32"/>
          <w:szCs w:val="32"/>
        </w:rPr>
        <w:t>文旅融合，放大县域文化品牌，高标快速推进旅游项目建设，全力抓好省级全域旅游示范区创建</w:t>
      </w:r>
      <w:r>
        <w:rPr>
          <w:rFonts w:hint="eastAsia" w:ascii="Times New Roman" w:hAnsi="Times New Roman" w:eastAsia="仿宋_GB2312" w:cs="Times New Roman"/>
          <w:b/>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rPr>
        <w:t>坚定不移鼓励、支持、引导民营企业发展，用好“一枚印章管审批”，全力抓好“一次办好”改革，打造一流营商环境</w:t>
      </w:r>
      <w:r>
        <w:rPr>
          <w:rFonts w:hint="eastAsia" w:ascii="Times New Roman" w:hAnsi="Times New Roman" w:eastAsia="仿宋_GB2312" w:cs="Times New Roman"/>
          <w:b/>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lang w:eastAsia="zh-CN"/>
        </w:rPr>
        <w:t>加速新旧动能转换</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强力推进“三清理一整顿”</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深入实施创新驱动战略</w:t>
      </w:r>
      <w:r>
        <w:rPr>
          <w:rFonts w:hint="eastAsia" w:ascii="Times New Roman" w:hAnsi="Times New Roman" w:eastAsia="仿宋_GB2312" w:cs="Times New Roman"/>
          <w:b/>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5、</w:t>
      </w:r>
      <w:r>
        <w:rPr>
          <w:rFonts w:hint="default" w:ascii="Times New Roman" w:hAnsi="Times New Roman" w:eastAsia="仿宋_GB2312" w:cs="Times New Roman"/>
          <w:b/>
          <w:bCs/>
          <w:sz w:val="32"/>
          <w:szCs w:val="32"/>
          <w:lang w:eastAsia="zh-CN"/>
        </w:rPr>
        <w:t>全力推进乡村振兴</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深化农村集体产权制度改革</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全面深化殡葬改革</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持续开展软弱涣散党组织整顿工作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6、</w:t>
      </w:r>
      <w:r>
        <w:rPr>
          <w:rFonts w:hint="eastAsia" w:ascii="Times New Roman" w:hAnsi="Times New Roman" w:eastAsia="仿宋_GB2312" w:cs="Times New Roman"/>
          <w:b/>
          <w:bCs/>
          <w:sz w:val="32"/>
          <w:szCs w:val="32"/>
          <w:lang w:eastAsia="zh-CN"/>
        </w:rPr>
        <w:t>大力改善</w:t>
      </w:r>
      <w:r>
        <w:rPr>
          <w:rFonts w:hint="default" w:ascii="Times New Roman" w:hAnsi="Times New Roman" w:eastAsia="仿宋_GB2312" w:cs="Times New Roman"/>
          <w:b/>
          <w:bCs/>
          <w:sz w:val="32"/>
          <w:szCs w:val="32"/>
          <w:lang w:eastAsia="zh-CN"/>
        </w:rPr>
        <w:t>城乡</w:t>
      </w:r>
      <w:r>
        <w:rPr>
          <w:rFonts w:hint="eastAsia" w:ascii="Times New Roman" w:hAnsi="Times New Roman" w:eastAsia="仿宋_GB2312" w:cs="Times New Roman"/>
          <w:b/>
          <w:bCs/>
          <w:sz w:val="32"/>
          <w:szCs w:val="32"/>
          <w:lang w:eastAsia="zh-CN"/>
        </w:rPr>
        <w:t>环境，</w:t>
      </w:r>
      <w:r>
        <w:rPr>
          <w:rFonts w:hint="default" w:ascii="Times New Roman" w:hAnsi="Times New Roman" w:eastAsia="仿宋_GB2312" w:cs="Times New Roman"/>
          <w:b/>
          <w:bCs/>
          <w:sz w:val="32"/>
          <w:szCs w:val="32"/>
          <w:lang w:val="zh-CN"/>
        </w:rPr>
        <w:t>提高城市管理精细化水平</w:t>
      </w:r>
      <w:r>
        <w:rPr>
          <w:rFonts w:hint="eastAsia" w:ascii="Times New Roman" w:hAnsi="Times New Roman" w:eastAsia="仿宋_GB2312" w:cs="Times New Roman"/>
          <w:b/>
          <w:bCs/>
          <w:sz w:val="32"/>
          <w:szCs w:val="32"/>
          <w:lang w:val="zh-CN"/>
        </w:rPr>
        <w:t>，</w:t>
      </w:r>
      <w:r>
        <w:rPr>
          <w:rFonts w:hint="default" w:ascii="Times New Roman" w:hAnsi="Times New Roman" w:eastAsia="仿宋_GB2312" w:cs="Times New Roman"/>
          <w:b/>
          <w:bCs/>
          <w:sz w:val="32"/>
          <w:szCs w:val="32"/>
          <w:lang w:val="zh-CN"/>
        </w:rPr>
        <w:t>深化河长制、塘长制，打好蓝天碧水净土保卫战。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7、</w:t>
      </w:r>
      <w:r>
        <w:rPr>
          <w:rFonts w:hint="default" w:ascii="Times New Roman" w:hAnsi="Times New Roman" w:eastAsia="仿宋_GB2312" w:cs="Times New Roman"/>
          <w:b/>
          <w:bCs/>
          <w:sz w:val="32"/>
          <w:szCs w:val="32"/>
          <w:lang w:val="zh-CN"/>
        </w:rPr>
        <w:t>巩固提升脱贫攻坚成果，建立健全稳定脱贫长效机制，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8、</w:t>
      </w:r>
      <w:r>
        <w:rPr>
          <w:rFonts w:hint="default" w:ascii="Times New Roman" w:hAnsi="Times New Roman" w:eastAsia="仿宋_GB2312" w:cs="Times New Roman"/>
          <w:b/>
          <w:bCs/>
          <w:sz w:val="32"/>
          <w:szCs w:val="32"/>
          <w:lang w:val="zh-CN"/>
        </w:rPr>
        <w:t>围绕创建教育名城，大力推广幸福教育，推进集团化办学，力促幼儿园办学水平显著提升。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9、</w:t>
      </w:r>
      <w:r>
        <w:rPr>
          <w:rFonts w:hint="default" w:ascii="Times New Roman" w:hAnsi="Times New Roman" w:eastAsia="仿宋_GB2312" w:cs="Times New Roman"/>
          <w:b/>
          <w:bCs/>
          <w:sz w:val="32"/>
          <w:szCs w:val="32"/>
          <w:lang w:val="zh-CN"/>
        </w:rPr>
        <w:t>扎实开展扫黑除恶专项斗争，深入推进平安庆云、法治庆云建设</w:t>
      </w:r>
      <w:r>
        <w:rPr>
          <w:rFonts w:hint="eastAsia" w:ascii="Times New Roman" w:hAnsi="Times New Roman" w:eastAsia="仿宋_GB2312" w:cs="Times New Roman"/>
          <w:b/>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default" w:ascii="Times New Roman" w:hAnsi="Times New Roman" w:eastAsia="仿宋_GB2312" w:cs="Times New Roman"/>
          <w:b/>
          <w:bCs/>
          <w:sz w:val="32"/>
          <w:szCs w:val="32"/>
          <w:lang w:val="zh-CN"/>
        </w:rPr>
      </w:pPr>
      <w:r>
        <w:rPr>
          <w:rFonts w:hint="eastAsia" w:ascii="Times New Roman" w:hAnsi="Times New Roman" w:eastAsia="仿宋_GB2312" w:cs="Times New Roman"/>
          <w:b/>
          <w:bCs/>
          <w:sz w:val="32"/>
          <w:szCs w:val="32"/>
          <w:lang w:val="en-US" w:eastAsia="zh-CN"/>
        </w:rPr>
        <w:t>10、</w:t>
      </w:r>
      <w:r>
        <w:rPr>
          <w:rFonts w:hint="default" w:ascii="Times New Roman" w:hAnsi="Times New Roman" w:eastAsia="仿宋_GB2312" w:cs="Times New Roman"/>
          <w:b/>
          <w:bCs/>
          <w:sz w:val="32"/>
          <w:szCs w:val="32"/>
          <w:lang w:val="zh-CN"/>
        </w:rPr>
        <w:t>加强与京津济医疗机构合作，</w:t>
      </w:r>
      <w:r>
        <w:rPr>
          <w:rFonts w:hint="default" w:ascii="Times New Roman" w:hAnsi="Times New Roman" w:eastAsia="仿宋_GB2312" w:cs="Times New Roman"/>
          <w:b/>
          <w:bCs/>
          <w:sz w:val="32"/>
          <w:szCs w:val="32"/>
          <w:lang w:val="zh-CN" w:eastAsia="zh-CN"/>
        </w:rPr>
        <w:t>扎实推进健康庆云建设，努力为群众提供全方位全周期的健康服务</w:t>
      </w:r>
      <w:r>
        <w:rPr>
          <w:rFonts w:hint="default" w:ascii="Times New Roman" w:hAnsi="Times New Roman" w:eastAsia="仿宋_GB2312" w:cs="Times New Roman"/>
          <w:b/>
          <w:bCs/>
          <w:sz w:val="32"/>
          <w:szCs w:val="32"/>
          <w:lang w:val="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11、</w:t>
      </w:r>
      <w:r>
        <w:rPr>
          <w:rFonts w:hint="default" w:ascii="Times New Roman" w:hAnsi="Times New Roman" w:eastAsia="仿宋_GB2312" w:cs="Times New Roman"/>
          <w:b/>
          <w:bCs/>
          <w:sz w:val="32"/>
          <w:szCs w:val="32"/>
          <w:lang w:val="zh-CN"/>
        </w:rPr>
        <w:t>积极抓好食品药品安全管理，</w:t>
      </w:r>
      <w:r>
        <w:rPr>
          <w:rFonts w:hint="eastAsia" w:ascii="Times New Roman" w:hAnsi="Times New Roman" w:eastAsia="仿宋_GB2312" w:cs="Times New Roman"/>
          <w:b/>
          <w:bCs/>
          <w:sz w:val="32"/>
          <w:szCs w:val="32"/>
          <w:lang w:val="zh-CN"/>
        </w:rPr>
        <w:t>强力推进智慧监管工程，</w:t>
      </w:r>
      <w:r>
        <w:rPr>
          <w:rFonts w:hint="default" w:ascii="Times New Roman" w:hAnsi="Times New Roman" w:eastAsia="仿宋_GB2312" w:cs="Times New Roman"/>
          <w:b/>
          <w:bCs/>
          <w:sz w:val="32"/>
          <w:szCs w:val="32"/>
          <w:lang w:val="zh-CN"/>
        </w:rPr>
        <w:t>提升监管水平</w:t>
      </w:r>
      <w:r>
        <w:rPr>
          <w:rFonts w:hint="eastAsia" w:ascii="Times New Roman" w:hAnsi="Times New Roman" w:eastAsia="仿宋_GB2312" w:cs="Times New Roman"/>
          <w:b/>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12、做好在外务工创业人员服务工作，用心解决在外人员的后顾之忧，</w:t>
      </w:r>
      <w:r>
        <w:rPr>
          <w:rFonts w:hint="default" w:ascii="Times New Roman" w:hAnsi="Times New Roman" w:eastAsia="仿宋_GB2312" w:cs="Times New Roman"/>
          <w:b/>
          <w:bCs/>
          <w:sz w:val="32"/>
          <w:szCs w:val="32"/>
          <w:lang w:val="zh-CN"/>
        </w:rPr>
        <w:t>吸引</w:t>
      </w:r>
      <w:r>
        <w:rPr>
          <w:rFonts w:hint="eastAsia" w:ascii="Times New Roman" w:hAnsi="Times New Roman" w:eastAsia="仿宋_GB2312" w:cs="Times New Roman"/>
          <w:b/>
          <w:bCs/>
          <w:sz w:val="32"/>
          <w:szCs w:val="32"/>
          <w:lang w:val="zh-CN" w:eastAsia="zh-CN"/>
        </w:rPr>
        <w:t>更多</w:t>
      </w:r>
      <w:r>
        <w:rPr>
          <w:rFonts w:hint="default" w:ascii="Times New Roman" w:hAnsi="Times New Roman" w:eastAsia="仿宋_GB2312" w:cs="Times New Roman"/>
          <w:b/>
          <w:bCs/>
          <w:sz w:val="32"/>
          <w:szCs w:val="32"/>
          <w:lang w:val="zh-CN"/>
        </w:rPr>
        <w:t>人才返乡创业</w:t>
      </w:r>
      <w:r>
        <w:rPr>
          <w:rFonts w:hint="eastAsia" w:ascii="Times New Roman" w:hAnsi="Times New Roman" w:eastAsia="仿宋_GB2312" w:cs="Times New Roman"/>
          <w:b/>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13、</w:t>
      </w:r>
      <w:r>
        <w:rPr>
          <w:rFonts w:hint="default" w:ascii="Times New Roman" w:hAnsi="Times New Roman" w:eastAsia="仿宋_GB2312" w:cs="Times New Roman"/>
          <w:b/>
          <w:bCs/>
          <w:sz w:val="32"/>
          <w:szCs w:val="32"/>
          <w:lang w:val="zh-CN"/>
        </w:rPr>
        <w:t>全力做好就业、养老、住房等社会保障工作，进一步完善覆盖城乡、功能完善的社会保障体系。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14、</w:t>
      </w:r>
      <w:r>
        <w:rPr>
          <w:rFonts w:hint="default" w:ascii="Times New Roman" w:hAnsi="Times New Roman" w:eastAsia="仿宋_GB2312" w:cs="Times New Roman"/>
          <w:b/>
          <w:bCs/>
          <w:sz w:val="32"/>
          <w:szCs w:val="32"/>
          <w:lang w:val="zh-CN"/>
        </w:rPr>
        <w:t>开展城乡人居环境整治三年行动，建设“三生三美”的美丽乡村，</w:t>
      </w:r>
      <w:r>
        <w:rPr>
          <w:rFonts w:hint="default" w:ascii="Times New Roman" w:hAnsi="Times New Roman" w:eastAsia="仿宋_GB2312" w:cs="Times New Roman"/>
          <w:b/>
          <w:bCs/>
          <w:sz w:val="32"/>
          <w:szCs w:val="32"/>
          <w:lang w:val="zh-CN" w:eastAsia="zh-CN"/>
        </w:rPr>
        <w:t>积极推进农旅融合</w:t>
      </w:r>
      <w:r>
        <w:rPr>
          <w:rFonts w:hint="eastAsia" w:ascii="Times New Roman" w:hAnsi="Times New Roman" w:eastAsia="仿宋_GB2312" w:cs="Times New Roman"/>
          <w:b/>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15、</w:t>
      </w:r>
      <w:r>
        <w:rPr>
          <w:rFonts w:hint="default" w:ascii="Times New Roman" w:hAnsi="Times New Roman" w:eastAsia="仿宋_GB2312" w:cs="Times New Roman"/>
          <w:b/>
          <w:bCs/>
          <w:sz w:val="32"/>
          <w:szCs w:val="32"/>
          <w:lang w:val="zh-CN"/>
        </w:rPr>
        <w:t>推进棚户区改造提速</w:t>
      </w:r>
      <w:r>
        <w:rPr>
          <w:rFonts w:hint="eastAsia" w:ascii="Times New Roman" w:hAnsi="Times New Roman" w:eastAsia="仿宋_GB2312" w:cs="Times New Roman"/>
          <w:b/>
          <w:bCs/>
          <w:sz w:val="32"/>
          <w:szCs w:val="32"/>
          <w:lang w:val="en-US" w:eastAsia="zh-CN"/>
        </w:rPr>
        <w:t>，加快推进城市有机更新。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16、</w:t>
      </w:r>
      <w:r>
        <w:rPr>
          <w:rFonts w:hint="default" w:ascii="Times New Roman" w:hAnsi="Times New Roman" w:eastAsia="仿宋_GB2312" w:cs="Times New Roman"/>
          <w:b/>
          <w:bCs/>
          <w:sz w:val="32"/>
          <w:szCs w:val="32"/>
          <w:lang w:val="zh-CN"/>
        </w:rPr>
        <w:t>聚焦商贸振兴</w:t>
      </w:r>
      <w:r>
        <w:rPr>
          <w:rFonts w:hint="eastAsia" w:ascii="Times New Roman" w:hAnsi="Times New Roman" w:eastAsia="仿宋_GB2312" w:cs="Times New Roman"/>
          <w:b/>
          <w:bCs/>
          <w:sz w:val="32"/>
          <w:szCs w:val="32"/>
          <w:lang w:val="zh-CN" w:eastAsia="zh-CN"/>
        </w:rPr>
        <w:t>，</w:t>
      </w:r>
      <w:r>
        <w:rPr>
          <w:rFonts w:hint="default" w:ascii="Times New Roman" w:hAnsi="Times New Roman" w:eastAsia="仿宋_GB2312" w:cs="Times New Roman"/>
          <w:b/>
          <w:bCs/>
          <w:sz w:val="32"/>
          <w:szCs w:val="32"/>
          <w:lang w:val="zh-CN"/>
        </w:rPr>
        <w:t>实施市场“转型升级突破年”活动，</w:t>
      </w:r>
      <w:r>
        <w:rPr>
          <w:rFonts w:hint="eastAsia" w:ascii="Times New Roman" w:hAnsi="Times New Roman" w:eastAsia="仿宋_GB2312" w:cs="Times New Roman"/>
          <w:b/>
          <w:bCs/>
          <w:sz w:val="32"/>
          <w:szCs w:val="32"/>
          <w:lang w:val="en-US" w:eastAsia="zh-CN"/>
        </w:rPr>
        <w:t>精心</w:t>
      </w:r>
      <w:r>
        <w:rPr>
          <w:rFonts w:hint="default" w:ascii="Times New Roman" w:hAnsi="Times New Roman" w:eastAsia="仿宋_GB2312" w:cs="Times New Roman"/>
          <w:b/>
          <w:bCs/>
          <w:sz w:val="32"/>
          <w:szCs w:val="32"/>
          <w:lang w:val="en-US" w:eastAsia="zh-CN"/>
        </w:rPr>
        <w:t>培育电商品牌示范企业，</w:t>
      </w:r>
      <w:r>
        <w:rPr>
          <w:rFonts w:hint="default" w:ascii="Times New Roman" w:hAnsi="Times New Roman" w:eastAsia="仿宋_GB2312" w:cs="Times New Roman"/>
          <w:b/>
          <w:bCs/>
          <w:sz w:val="32"/>
          <w:szCs w:val="32"/>
          <w:lang w:val="zh-CN"/>
        </w:rPr>
        <w:t>打造区域商贸中心城市</w:t>
      </w:r>
      <w:r>
        <w:rPr>
          <w:rFonts w:hint="eastAsia" w:ascii="Times New Roman" w:hAnsi="Times New Roman" w:eastAsia="仿宋_GB2312" w:cs="Times New Roman"/>
          <w:b/>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17、加快推进</w:t>
      </w:r>
      <w:r>
        <w:rPr>
          <w:rFonts w:hint="default" w:ascii="Times New Roman" w:hAnsi="Times New Roman" w:eastAsia="仿宋_GB2312" w:cs="Times New Roman"/>
          <w:b/>
          <w:bCs/>
          <w:sz w:val="32"/>
          <w:szCs w:val="32"/>
          <w:lang w:val="zh-CN"/>
        </w:rPr>
        <w:t>中法生态城建设</w:t>
      </w:r>
      <w:r>
        <w:rPr>
          <w:rFonts w:hint="eastAsia" w:ascii="Times New Roman" w:hAnsi="Times New Roman" w:eastAsia="仿宋_GB2312" w:cs="Times New Roman"/>
          <w:b/>
          <w:bCs/>
          <w:sz w:val="32"/>
          <w:szCs w:val="32"/>
          <w:lang w:val="zh-CN"/>
        </w:rPr>
        <w:t>，</w:t>
      </w:r>
      <w:r>
        <w:rPr>
          <w:rFonts w:hint="default" w:ascii="Times New Roman" w:hAnsi="Times New Roman" w:eastAsia="仿宋_GB2312" w:cs="Times New Roman"/>
          <w:b/>
          <w:bCs/>
          <w:sz w:val="32"/>
          <w:szCs w:val="32"/>
          <w:lang w:val="zh-CN"/>
        </w:rPr>
        <w:t>持续拓展东盟市场，提升开放质量，着力把庆云建成协同发展对外开放先行区。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18、其它事关庆云经济、政治、社会、文化、生态文明建设发展的建议。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b/>
          <w:bCs/>
          <w:sz w:val="32"/>
          <w:szCs w:val="32"/>
          <w:lang w:val="en-US" w:eastAsia="zh-CN"/>
        </w:rPr>
      </w:pP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附2：</w:t>
      </w:r>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中国人民政治协商会议</w:t>
      </w:r>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庆云县第</w:t>
      </w:r>
      <w:r>
        <w:rPr>
          <w:rFonts w:hint="eastAsia" w:ascii="方正小标宋简体" w:eastAsia="方正小标宋简体"/>
          <w:sz w:val="44"/>
          <w:szCs w:val="44"/>
          <w:lang w:val="en-US" w:eastAsia="zh-CN"/>
        </w:rPr>
        <w:t>十</w:t>
      </w:r>
      <w:r>
        <w:rPr>
          <w:rFonts w:hint="eastAsia" w:ascii="方正小标宋简体" w:eastAsia="方正小标宋简体"/>
          <w:sz w:val="44"/>
          <w:szCs w:val="44"/>
        </w:rPr>
        <w:t>届委员会第</w:t>
      </w:r>
      <w:r>
        <w:rPr>
          <w:rFonts w:hint="eastAsia" w:ascii="方正小标宋简体" w:eastAsia="方正小标宋简体"/>
          <w:sz w:val="44"/>
          <w:szCs w:val="44"/>
          <w:lang w:val="en-US" w:eastAsia="zh-CN"/>
        </w:rPr>
        <w:t>三</w:t>
      </w:r>
      <w:r>
        <w:rPr>
          <w:rFonts w:hint="eastAsia" w:ascii="方正小标宋简体" w:eastAsia="方正小标宋简体"/>
          <w:sz w:val="44"/>
          <w:szCs w:val="44"/>
        </w:rPr>
        <w:t>次会议</w:t>
      </w:r>
    </w:p>
    <w:p>
      <w:pPr>
        <w:spacing w:after="156" w:afterLines="50" w:line="640" w:lineRule="exact"/>
        <w:jc w:val="center"/>
        <w:rPr>
          <w:rFonts w:hint="eastAsia" w:ascii="方正小标宋简体" w:eastAsia="方正小标宋简体"/>
          <w:bCs/>
          <w:sz w:val="32"/>
          <w:szCs w:val="32"/>
        </w:rPr>
      </w:pPr>
      <w:r>
        <w:rPr>
          <w:rFonts w:hint="eastAsia" w:ascii="方正小标宋简体" w:eastAsia="方正小标宋简体"/>
          <w:sz w:val="44"/>
          <w:szCs w:val="44"/>
        </w:rPr>
        <w:t>政  协  提  案</w:t>
      </w:r>
    </w:p>
    <w:p>
      <w:pPr>
        <w:rPr>
          <w:rFonts w:hint="eastAsia" w:ascii="仿宋_GB2312" w:eastAsia="仿宋_GB2312"/>
          <w:sz w:val="32"/>
          <w:szCs w:val="32"/>
        </w:rPr>
      </w:pPr>
      <w:r>
        <w:rPr>
          <w:rFonts w:hint="eastAsia" w:ascii="仿宋_GB2312" w:eastAsia="仿宋_GB2312"/>
          <w:bCs/>
          <w:sz w:val="32"/>
          <w:szCs w:val="32"/>
        </w:rPr>
        <w:t xml:space="preserve">    年   月    日</w:t>
      </w:r>
      <w:r>
        <w:rPr>
          <w:rFonts w:hint="eastAsia" w:ascii="黑体" w:eastAsia="黑体"/>
          <w:sz w:val="52"/>
          <w:szCs w:val="52"/>
        </w:rPr>
        <w:t xml:space="preserve">                </w:t>
      </w:r>
      <w:r>
        <w:rPr>
          <w:rFonts w:hint="eastAsia" w:ascii="仿宋_GB2312" w:eastAsia="仿宋_GB2312"/>
          <w:sz w:val="32"/>
          <w:szCs w:val="32"/>
        </w:rPr>
        <w:t>第    号</w:t>
      </w:r>
    </w:p>
    <w:tbl>
      <w:tblPr>
        <w:tblStyle w:val="6"/>
        <w:tblW w:w="92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737"/>
        <w:gridCol w:w="186"/>
        <w:gridCol w:w="2504"/>
        <w:gridCol w:w="2069"/>
        <w:gridCol w:w="2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jc w:val="center"/>
        </w:trPr>
        <w:tc>
          <w:tcPr>
            <w:tcW w:w="1822"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eastAsia="仿宋_GB2312"/>
                <w:sz w:val="32"/>
                <w:szCs w:val="32"/>
              </w:rPr>
            </w:pPr>
            <w:r>
              <w:rPr>
                <w:rFonts w:hint="eastAsia" w:ascii="仿宋_GB2312" w:eastAsia="仿宋_GB2312"/>
                <w:sz w:val="32"/>
                <w:szCs w:val="32"/>
              </w:rPr>
              <w:t>提 案 人</w:t>
            </w:r>
          </w:p>
        </w:tc>
        <w:tc>
          <w:tcPr>
            <w:tcW w:w="250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eastAsia="仿宋_GB2312"/>
                <w:sz w:val="32"/>
                <w:szCs w:val="32"/>
              </w:rPr>
            </w:pPr>
          </w:p>
        </w:tc>
        <w:tc>
          <w:tcPr>
            <w:tcW w:w="2069"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eastAsia="仿宋_GB2312"/>
                <w:sz w:val="32"/>
                <w:szCs w:val="32"/>
              </w:rPr>
            </w:pPr>
            <w:r>
              <w:rPr>
                <w:rFonts w:hint="eastAsia" w:ascii="仿宋_GB2312" w:eastAsia="仿宋_GB2312"/>
                <w:sz w:val="32"/>
                <w:szCs w:val="32"/>
              </w:rPr>
              <w:t>工作单位</w:t>
            </w:r>
          </w:p>
          <w:p>
            <w:pPr>
              <w:spacing w:line="540" w:lineRule="exact"/>
              <w:jc w:val="center"/>
              <w:rPr>
                <w:rFonts w:ascii="仿宋_GB2312" w:eastAsia="仿宋_GB2312"/>
                <w:sz w:val="32"/>
                <w:szCs w:val="32"/>
              </w:rPr>
            </w:pPr>
            <w:r>
              <w:rPr>
                <w:rFonts w:hint="eastAsia" w:ascii="仿宋_GB2312" w:eastAsia="仿宋_GB2312"/>
                <w:sz w:val="32"/>
                <w:szCs w:val="32"/>
              </w:rPr>
              <w:t>或通讯地址</w:t>
            </w:r>
          </w:p>
        </w:tc>
        <w:tc>
          <w:tcPr>
            <w:tcW w:w="2822"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1822"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eastAsia="仿宋_GB2312"/>
                <w:sz w:val="32"/>
                <w:szCs w:val="32"/>
              </w:rPr>
            </w:pPr>
            <w:r>
              <w:rPr>
                <w:rFonts w:hint="eastAsia" w:ascii="仿宋_GB2312" w:eastAsia="仿宋_GB2312"/>
                <w:sz w:val="32"/>
                <w:szCs w:val="32"/>
              </w:rPr>
              <w:t>案    由</w:t>
            </w:r>
          </w:p>
        </w:tc>
        <w:tc>
          <w:tcPr>
            <w:tcW w:w="7395"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3" w:hRule="atLeast"/>
          <w:jc w:val="center"/>
        </w:trPr>
        <w:tc>
          <w:tcPr>
            <w:tcW w:w="899" w:type="dxa"/>
            <w:tcBorders>
              <w:top w:val="single" w:color="auto" w:sz="4" w:space="0"/>
              <w:left w:val="single" w:color="auto" w:sz="4" w:space="0"/>
              <w:bottom w:val="single" w:color="auto" w:sz="4" w:space="0"/>
              <w:right w:val="single" w:color="auto" w:sz="4" w:space="0"/>
            </w:tcBorders>
            <w:textDirection w:val="tbRlV"/>
            <w:vAlign w:val="center"/>
          </w:tcPr>
          <w:p>
            <w:pPr>
              <w:spacing w:line="540" w:lineRule="exact"/>
              <w:jc w:val="center"/>
              <w:rPr>
                <w:rFonts w:ascii="仿宋_GB2312" w:eastAsia="仿宋_GB2312"/>
                <w:sz w:val="32"/>
                <w:szCs w:val="32"/>
              </w:rPr>
            </w:pPr>
            <w:r>
              <w:rPr>
                <w:rFonts w:hint="eastAsia" w:ascii="仿宋_GB2312" w:eastAsia="仿宋_GB2312"/>
                <w:sz w:val="32"/>
                <w:szCs w:val="32"/>
              </w:rPr>
              <w:t>提     案     内     容</w:t>
            </w:r>
          </w:p>
        </w:tc>
        <w:tc>
          <w:tcPr>
            <w:tcW w:w="8318" w:type="dxa"/>
            <w:gridSpan w:val="5"/>
            <w:tcBorders>
              <w:top w:val="single" w:color="auto" w:sz="4" w:space="0"/>
              <w:left w:val="single" w:color="auto" w:sz="4" w:space="0"/>
              <w:bottom w:val="single" w:color="auto" w:sz="4" w:space="0"/>
              <w:right w:val="single" w:color="auto" w:sz="4" w:space="0"/>
            </w:tcBorders>
            <w:vAlign w:val="top"/>
          </w:tcPr>
          <w:p>
            <w:pPr>
              <w:spacing w:line="540" w:lineRule="exact"/>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jc w:val="center"/>
        </w:trPr>
        <w:tc>
          <w:tcPr>
            <w:tcW w:w="1636"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eastAsia="仿宋_GB2312"/>
                <w:sz w:val="32"/>
                <w:szCs w:val="32"/>
              </w:rPr>
            </w:pPr>
            <w:r>
              <w:rPr>
                <w:rFonts w:hint="eastAsia" w:ascii="仿宋_GB2312" w:eastAsia="仿宋_GB2312"/>
                <w:sz w:val="32"/>
                <w:szCs w:val="32"/>
              </w:rPr>
              <w:t>审查意见</w:t>
            </w:r>
          </w:p>
        </w:tc>
        <w:tc>
          <w:tcPr>
            <w:tcW w:w="2690"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eastAsia="仿宋_GB2312"/>
                <w:sz w:val="32"/>
                <w:szCs w:val="32"/>
              </w:rPr>
            </w:pPr>
          </w:p>
        </w:tc>
        <w:tc>
          <w:tcPr>
            <w:tcW w:w="2069"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eastAsia="仿宋_GB2312"/>
                <w:sz w:val="32"/>
                <w:szCs w:val="32"/>
              </w:rPr>
            </w:pPr>
            <w:r>
              <w:rPr>
                <w:rFonts w:hint="eastAsia" w:ascii="仿宋_GB2312" w:eastAsia="仿宋_GB2312"/>
                <w:sz w:val="32"/>
                <w:szCs w:val="32"/>
              </w:rPr>
              <w:t>内容分类</w:t>
            </w:r>
          </w:p>
        </w:tc>
        <w:tc>
          <w:tcPr>
            <w:tcW w:w="2822" w:type="dxa"/>
            <w:tcBorders>
              <w:top w:val="single" w:color="auto" w:sz="4" w:space="0"/>
              <w:left w:val="single" w:color="auto" w:sz="4" w:space="0"/>
              <w:bottom w:val="single" w:color="auto" w:sz="4" w:space="0"/>
              <w:right w:val="single" w:color="auto" w:sz="4" w:space="0"/>
            </w:tcBorders>
            <w:vAlign w:val="top"/>
          </w:tcPr>
          <w:p>
            <w:pPr>
              <w:spacing w:line="540" w:lineRule="exact"/>
            </w:pPr>
          </w:p>
        </w:tc>
      </w:tr>
    </w:tbl>
    <w:p>
      <w:pPr>
        <w:spacing w:line="60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bCs/>
          <w:spacing w:val="-20"/>
          <w:sz w:val="32"/>
          <w:szCs w:val="32"/>
        </w:rPr>
        <w:t xml:space="preserve">     </w:t>
      </w:r>
      <w:r>
        <w:rPr>
          <w:rFonts w:hint="eastAsia" w:ascii="仿宋_GB2312" w:hAnsi="仿宋_GB2312" w:eastAsia="仿宋_GB2312"/>
          <w:bCs/>
          <w:sz w:val="32"/>
          <w:szCs w:val="32"/>
        </w:rPr>
        <w:t>注：每表只填写一案，一式两份。</w:t>
      </w:r>
      <w:r>
        <w:rPr>
          <w:rFonts w:hint="eastAsia" w:ascii="仿宋_GB2312" w:hAnsi="仿宋_GB2312" w:eastAsia="仿宋_GB2312"/>
          <w:bCs/>
          <w:spacing w:val="-20"/>
          <w:sz w:val="32"/>
          <w:szCs w:val="32"/>
        </w:rPr>
        <w:t xml:space="preserve">   </w:t>
      </w:r>
      <w:r>
        <w:rPr>
          <w:rFonts w:hint="eastAsia" w:ascii="仿宋_GB2312" w:eastAsia="仿宋_GB2312"/>
          <w:bCs/>
          <w:sz w:val="32"/>
          <w:szCs w:val="32"/>
        </w:rPr>
        <w:t xml:space="preserve">      </w:t>
      </w:r>
      <w:r>
        <w:rPr>
          <w:rFonts w:hint="eastAsia" w:ascii="仿宋_GB2312" w:hAnsi="宋体" w:eastAsia="仿宋_GB2312"/>
          <w:sz w:val="32"/>
          <w:szCs w:val="32"/>
        </w:rPr>
        <w:t xml:space="preserve">   </w:t>
      </w:r>
    </w:p>
    <w:sectPr>
      <w:pgSz w:w="11906" w:h="16838"/>
      <w:pgMar w:top="1723" w:right="1576" w:bottom="1440" w:left="1576"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53775"/>
    <w:rsid w:val="06C32E53"/>
    <w:rsid w:val="0CDD2D06"/>
    <w:rsid w:val="0D53104A"/>
    <w:rsid w:val="11BA6080"/>
    <w:rsid w:val="181E1BDA"/>
    <w:rsid w:val="191F477A"/>
    <w:rsid w:val="1C304BC5"/>
    <w:rsid w:val="1DDD6D0B"/>
    <w:rsid w:val="208127EA"/>
    <w:rsid w:val="23453775"/>
    <w:rsid w:val="2421051D"/>
    <w:rsid w:val="305B3DAF"/>
    <w:rsid w:val="309B6C1B"/>
    <w:rsid w:val="330F7B4B"/>
    <w:rsid w:val="3CAB7FCC"/>
    <w:rsid w:val="43D36929"/>
    <w:rsid w:val="45771A91"/>
    <w:rsid w:val="4E3B2D1C"/>
    <w:rsid w:val="4F0C754A"/>
    <w:rsid w:val="528E4933"/>
    <w:rsid w:val="53DC6E56"/>
    <w:rsid w:val="56941857"/>
    <w:rsid w:val="6CD42594"/>
    <w:rsid w:val="6F9702F0"/>
    <w:rsid w:val="721972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2017-11-16T06:29:00Z</dcterms:created>
  <dc:creator>dell</dc:creator>
  <cp:lastModifiedBy>lenovo</cp:lastModifiedBy>
  <cp:lastPrinted>2017-11-16T08:40:00Z</cp:lastPrinted>
  <dcterms:modified xsi:type="dcterms:W3CDTF">2018-12-11T02:13:13Z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